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2"/>
        <w:ind w:left="3288" w:right="3285" w:hanging="1"/>
        <w:jc w:val="center"/>
      </w:pPr>
      <w:r>
        <w:rPr/>
        <w:t>IUB Policy Statement on Allocation</w:t>
      </w:r>
      <w:r>
        <w:rPr>
          <w:spacing w:val="-12"/>
        </w:rPr>
        <w:t> </w:t>
      </w:r>
      <w:r>
        <w:rPr/>
        <w:t>of</w:t>
      </w:r>
      <w:r>
        <w:rPr>
          <w:spacing w:val="-14"/>
        </w:rPr>
        <w:t> </w:t>
      </w:r>
      <w:r>
        <w:rPr/>
        <w:t>Faculty</w:t>
      </w:r>
      <w:r>
        <w:rPr>
          <w:spacing w:val="-16"/>
        </w:rPr>
        <w:t> </w:t>
      </w:r>
      <w:r>
        <w:rPr/>
        <w:t>Time Including Clinical Faculty</w:t>
      </w:r>
    </w:p>
    <w:p>
      <w:pPr>
        <w:pStyle w:val="BodyText"/>
        <w:rPr>
          <w:b/>
          <w:sz w:val="26"/>
        </w:rPr>
      </w:pPr>
    </w:p>
    <w:p>
      <w:pPr>
        <w:pStyle w:val="BodyText"/>
        <w:rPr>
          <w:b/>
          <w:sz w:val="22"/>
        </w:rPr>
      </w:pPr>
    </w:p>
    <w:p>
      <w:pPr>
        <w:pStyle w:val="BodyText"/>
        <w:ind w:left="100" w:right="102"/>
      </w:pPr>
      <w:r>
        <w:rPr/>
        <w:t>At</w:t>
      </w:r>
      <w:r>
        <w:rPr>
          <w:spacing w:val="-3"/>
        </w:rPr>
        <w:t> </w:t>
      </w:r>
      <w:r>
        <w:rPr/>
        <w:t>the</w:t>
      </w:r>
      <w:r>
        <w:rPr>
          <w:spacing w:val="-3"/>
        </w:rPr>
        <w:t> </w:t>
      </w:r>
      <w:r>
        <w:rPr/>
        <w:t>request</w:t>
      </w:r>
      <w:r>
        <w:rPr>
          <w:spacing w:val="-5"/>
        </w:rPr>
        <w:t> </w:t>
      </w:r>
      <w:r>
        <w:rPr/>
        <w:t>of</w:t>
      </w:r>
      <w:r>
        <w:rPr>
          <w:spacing w:val="-3"/>
        </w:rPr>
        <w:t> </w:t>
      </w:r>
      <w:r>
        <w:rPr/>
        <w:t>the</w:t>
      </w:r>
      <w:r>
        <w:rPr>
          <w:spacing w:val="-5"/>
        </w:rPr>
        <w:t> </w:t>
      </w:r>
      <w:r>
        <w:rPr/>
        <w:t>IUB</w:t>
      </w:r>
      <w:r>
        <w:rPr>
          <w:spacing w:val="-3"/>
        </w:rPr>
        <w:t> </w:t>
      </w:r>
      <w:r>
        <w:rPr/>
        <w:t>Dean</w:t>
      </w:r>
      <w:r>
        <w:rPr>
          <w:spacing w:val="-5"/>
        </w:rPr>
        <w:t> </w:t>
      </w:r>
      <w:r>
        <w:rPr/>
        <w:t>of</w:t>
      </w:r>
      <w:r>
        <w:rPr>
          <w:spacing w:val="-1"/>
        </w:rPr>
        <w:t> </w:t>
      </w:r>
      <w:r>
        <w:rPr/>
        <w:t>Faculties</w:t>
      </w:r>
      <w:r>
        <w:rPr>
          <w:spacing w:val="-5"/>
        </w:rPr>
        <w:t> </w:t>
      </w:r>
      <w:r>
        <w:rPr/>
        <w:t>Office,</w:t>
      </w:r>
      <w:r>
        <w:rPr>
          <w:spacing w:val="-3"/>
        </w:rPr>
        <w:t> </w:t>
      </w:r>
      <w:r>
        <w:rPr/>
        <w:t>the</w:t>
      </w:r>
      <w:r>
        <w:rPr>
          <w:spacing w:val="-3"/>
        </w:rPr>
        <w:t> </w:t>
      </w:r>
      <w:r>
        <w:rPr/>
        <w:t>Faculty</w:t>
      </w:r>
      <w:r>
        <w:rPr>
          <w:spacing w:val="-6"/>
        </w:rPr>
        <w:t> </w:t>
      </w:r>
      <w:r>
        <w:rPr/>
        <w:t>Affairs</w:t>
      </w:r>
      <w:r>
        <w:rPr>
          <w:spacing w:val="-3"/>
        </w:rPr>
        <w:t> </w:t>
      </w:r>
      <w:r>
        <w:rPr/>
        <w:t>Committee</w:t>
      </w:r>
      <w:r>
        <w:rPr>
          <w:spacing w:val="-5"/>
        </w:rPr>
        <w:t> </w:t>
      </w:r>
      <w:r>
        <w:rPr/>
        <w:t>drafted a policy statement regarding the allocation of faculty time for IUB Education faculty.</w:t>
      </w:r>
    </w:p>
    <w:p>
      <w:pPr>
        <w:pStyle w:val="BodyText"/>
        <w:ind w:left="100"/>
      </w:pPr>
      <w:r>
        <w:rPr/>
        <w:t>The</w:t>
      </w:r>
      <w:r>
        <w:rPr>
          <w:spacing w:val="-3"/>
        </w:rPr>
        <w:t> </w:t>
      </w:r>
      <w:r>
        <w:rPr/>
        <w:t>committee</w:t>
      </w:r>
      <w:r>
        <w:rPr>
          <w:spacing w:val="-4"/>
        </w:rPr>
        <w:t> </w:t>
      </w:r>
      <w:r>
        <w:rPr/>
        <w:t>members</w:t>
      </w:r>
      <w:r>
        <w:rPr>
          <w:spacing w:val="-3"/>
        </w:rPr>
        <w:t> </w:t>
      </w:r>
      <w:r>
        <w:rPr/>
        <w:t>discussed</w:t>
      </w:r>
      <w:r>
        <w:rPr>
          <w:spacing w:val="-4"/>
        </w:rPr>
        <w:t> </w:t>
      </w:r>
      <w:r>
        <w:rPr/>
        <w:t>this</w:t>
      </w:r>
      <w:r>
        <w:rPr>
          <w:spacing w:val="-3"/>
        </w:rPr>
        <w:t> </w:t>
      </w:r>
      <w:r>
        <w:rPr/>
        <w:t>topic</w:t>
      </w:r>
      <w:r>
        <w:rPr>
          <w:spacing w:val="-5"/>
        </w:rPr>
        <w:t> </w:t>
      </w:r>
      <w:r>
        <w:rPr/>
        <w:t>during</w:t>
      </w:r>
      <w:r>
        <w:rPr>
          <w:spacing w:val="-5"/>
        </w:rPr>
        <w:t> </w:t>
      </w:r>
      <w:r>
        <w:rPr/>
        <w:t>the</w:t>
      </w:r>
      <w:r>
        <w:rPr>
          <w:spacing w:val="-5"/>
        </w:rPr>
        <w:t> </w:t>
      </w:r>
      <w:r>
        <w:rPr/>
        <w:t>fall</w:t>
      </w:r>
      <w:r>
        <w:rPr>
          <w:spacing w:val="-3"/>
        </w:rPr>
        <w:t> </w:t>
      </w:r>
      <w:r>
        <w:rPr/>
        <w:t>2002</w:t>
      </w:r>
      <w:r>
        <w:rPr>
          <w:spacing w:val="-5"/>
        </w:rPr>
        <w:t> </w:t>
      </w:r>
      <w:r>
        <w:rPr>
          <w:spacing w:val="-2"/>
        </w:rPr>
        <w:t>semester.</w:t>
      </w:r>
    </w:p>
    <w:p>
      <w:pPr>
        <w:pStyle w:val="BodyText"/>
      </w:pPr>
    </w:p>
    <w:p>
      <w:pPr>
        <w:pStyle w:val="BodyText"/>
        <w:ind w:left="100" w:right="181"/>
      </w:pPr>
      <w:r>
        <w:rPr/>
        <w:t>The 2002 discussion was based on the assumption that time should be discussed in terms of percent of time spent in the traditional areas teaching, research, and service. The decision was made to discuss percent of time rather than hours worked because some faculty may be more efficient in some areas than other faculty, making direct comparisons of hours spent on a particular task problematic.</w:t>
      </w:r>
      <w:r>
        <w:rPr>
          <w:spacing w:val="40"/>
        </w:rPr>
        <w:t> </w:t>
      </w:r>
      <w:r>
        <w:rPr/>
        <w:t>Also, issues related to total hours worked relate to faculty workload issues, not allocation of time.</w:t>
      </w:r>
      <w:r>
        <w:rPr>
          <w:spacing w:val="40"/>
        </w:rPr>
        <w:t> </w:t>
      </w:r>
      <w:r>
        <w:rPr/>
        <w:t>The committee</w:t>
      </w:r>
      <w:r>
        <w:rPr>
          <w:spacing w:val="-3"/>
        </w:rPr>
        <w:t> </w:t>
      </w:r>
      <w:r>
        <w:rPr/>
        <w:t>also</w:t>
      </w:r>
      <w:r>
        <w:rPr>
          <w:spacing w:val="-5"/>
        </w:rPr>
        <w:t> </w:t>
      </w:r>
      <w:r>
        <w:rPr/>
        <w:t>agreed</w:t>
      </w:r>
      <w:r>
        <w:rPr>
          <w:spacing w:val="-5"/>
        </w:rPr>
        <w:t> </w:t>
      </w:r>
      <w:r>
        <w:rPr/>
        <w:t>to</w:t>
      </w:r>
      <w:r>
        <w:rPr>
          <w:spacing w:val="-3"/>
        </w:rPr>
        <w:t> </w:t>
      </w:r>
      <w:r>
        <w:rPr/>
        <w:t>use</w:t>
      </w:r>
      <w:r>
        <w:rPr>
          <w:spacing w:val="-3"/>
        </w:rPr>
        <w:t> </w:t>
      </w:r>
      <w:r>
        <w:rPr/>
        <w:t>“time”</w:t>
      </w:r>
      <w:r>
        <w:rPr>
          <w:spacing w:val="-3"/>
        </w:rPr>
        <w:t> </w:t>
      </w:r>
      <w:r>
        <w:rPr/>
        <w:t>and</w:t>
      </w:r>
      <w:r>
        <w:rPr>
          <w:spacing w:val="-3"/>
        </w:rPr>
        <w:t> </w:t>
      </w:r>
      <w:r>
        <w:rPr/>
        <w:t>“effort”</w:t>
      </w:r>
      <w:r>
        <w:rPr>
          <w:spacing w:val="-4"/>
        </w:rPr>
        <w:t> </w:t>
      </w:r>
      <w:r>
        <w:rPr/>
        <w:t>interchangeably</w:t>
      </w:r>
      <w:r>
        <w:rPr>
          <w:spacing w:val="-6"/>
        </w:rPr>
        <w:t> </w:t>
      </w:r>
      <w:r>
        <w:rPr/>
        <w:t>in</w:t>
      </w:r>
      <w:r>
        <w:rPr>
          <w:spacing w:val="-3"/>
        </w:rPr>
        <w:t> </w:t>
      </w:r>
      <w:r>
        <w:rPr/>
        <w:t>order</w:t>
      </w:r>
      <w:r>
        <w:rPr>
          <w:spacing w:val="-3"/>
        </w:rPr>
        <w:t> </w:t>
      </w:r>
      <w:r>
        <w:rPr/>
        <w:t>to</w:t>
      </w:r>
      <w:r>
        <w:rPr>
          <w:spacing w:val="-3"/>
        </w:rPr>
        <w:t> </w:t>
      </w:r>
      <w:r>
        <w:rPr/>
        <w:t>simplify</w:t>
      </w:r>
      <w:r>
        <w:rPr>
          <w:spacing w:val="-6"/>
        </w:rPr>
        <w:t> </w:t>
      </w:r>
      <w:r>
        <w:rPr/>
        <w:t>the </w:t>
      </w:r>
      <w:r>
        <w:rPr>
          <w:spacing w:val="-2"/>
        </w:rPr>
        <w:t>discussion.</w:t>
      </w:r>
    </w:p>
    <w:p>
      <w:pPr>
        <w:pStyle w:val="BodyText"/>
        <w:rPr>
          <w:sz w:val="26"/>
        </w:rPr>
      </w:pPr>
    </w:p>
    <w:p>
      <w:pPr>
        <w:pStyle w:val="BodyText"/>
        <w:spacing w:before="1"/>
        <w:rPr>
          <w:sz w:val="22"/>
        </w:rPr>
      </w:pPr>
    </w:p>
    <w:p>
      <w:pPr>
        <w:pStyle w:val="BodyText"/>
        <w:ind w:left="100"/>
      </w:pPr>
      <w:r>
        <w:rPr/>
        <w:t>The</w:t>
      </w:r>
      <w:r>
        <w:rPr>
          <w:spacing w:val="-5"/>
        </w:rPr>
        <w:t> </w:t>
      </w:r>
      <w:r>
        <w:rPr/>
        <w:t>committee</w:t>
      </w:r>
      <w:r>
        <w:rPr>
          <w:spacing w:val="-4"/>
        </w:rPr>
        <w:t> </w:t>
      </w:r>
      <w:r>
        <w:rPr/>
        <w:t>recommends</w:t>
      </w:r>
      <w:r>
        <w:rPr>
          <w:spacing w:val="-5"/>
        </w:rPr>
        <w:t> </w:t>
      </w:r>
      <w:r>
        <w:rPr/>
        <w:t>the</w:t>
      </w:r>
      <w:r>
        <w:rPr>
          <w:spacing w:val="-6"/>
        </w:rPr>
        <w:t> </w:t>
      </w:r>
      <w:r>
        <w:rPr/>
        <w:t>following</w:t>
      </w:r>
      <w:r>
        <w:rPr>
          <w:spacing w:val="-5"/>
        </w:rPr>
        <w:t> </w:t>
      </w:r>
      <w:r>
        <w:rPr>
          <w:spacing w:val="-2"/>
        </w:rPr>
        <w:t>allocations:</w:t>
      </w:r>
    </w:p>
    <w:p>
      <w:pPr>
        <w:pStyle w:val="BodyText"/>
        <w:spacing w:before="8"/>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61"/>
        <w:gridCol w:w="1929"/>
        <w:gridCol w:w="2511"/>
        <w:gridCol w:w="1420"/>
      </w:tblGrid>
      <w:tr>
        <w:trPr>
          <w:trHeight w:val="686" w:hRule="atLeast"/>
        </w:trPr>
        <w:tc>
          <w:tcPr>
            <w:tcW w:w="3261" w:type="dxa"/>
          </w:tcPr>
          <w:p>
            <w:pPr>
              <w:pStyle w:val="TableParagraph"/>
              <w:spacing w:before="0"/>
              <w:rPr>
                <w:rFonts w:ascii="Times New Roman"/>
                <w:sz w:val="22"/>
              </w:rPr>
            </w:pPr>
          </w:p>
        </w:tc>
        <w:tc>
          <w:tcPr>
            <w:tcW w:w="1929" w:type="dxa"/>
          </w:tcPr>
          <w:p>
            <w:pPr>
              <w:pStyle w:val="TableParagraph"/>
              <w:spacing w:line="268" w:lineRule="exact" w:before="0"/>
              <w:ind w:left="302" w:right="560"/>
              <w:jc w:val="center"/>
              <w:rPr>
                <w:sz w:val="24"/>
              </w:rPr>
            </w:pPr>
            <w:r>
              <w:rPr>
                <w:spacing w:val="-2"/>
                <w:sz w:val="24"/>
              </w:rPr>
              <w:t>Teaching</w:t>
            </w:r>
          </w:p>
        </w:tc>
        <w:tc>
          <w:tcPr>
            <w:tcW w:w="2511" w:type="dxa"/>
          </w:tcPr>
          <w:p>
            <w:pPr>
              <w:pStyle w:val="TableParagraph"/>
              <w:spacing w:before="0"/>
              <w:ind w:left="570" w:right="217"/>
              <w:rPr>
                <w:sz w:val="24"/>
              </w:rPr>
            </w:pPr>
            <w:r>
              <w:rPr>
                <w:sz w:val="24"/>
              </w:rPr>
              <w:t>Research and Creative</w:t>
            </w:r>
            <w:r>
              <w:rPr>
                <w:spacing w:val="-17"/>
                <w:sz w:val="24"/>
              </w:rPr>
              <w:t> </w:t>
            </w:r>
            <w:r>
              <w:rPr>
                <w:sz w:val="24"/>
              </w:rPr>
              <w:t>Activity</w:t>
            </w:r>
          </w:p>
        </w:tc>
        <w:tc>
          <w:tcPr>
            <w:tcW w:w="1420" w:type="dxa"/>
          </w:tcPr>
          <w:p>
            <w:pPr>
              <w:pStyle w:val="TableParagraph"/>
              <w:spacing w:line="268" w:lineRule="exact" w:before="0"/>
              <w:ind w:left="220"/>
              <w:rPr>
                <w:sz w:val="24"/>
              </w:rPr>
            </w:pPr>
            <w:r>
              <w:rPr>
                <w:spacing w:val="-2"/>
                <w:sz w:val="24"/>
              </w:rPr>
              <w:t>Service</w:t>
            </w:r>
          </w:p>
        </w:tc>
      </w:tr>
      <w:tr>
        <w:trPr>
          <w:trHeight w:val="552" w:hRule="atLeast"/>
        </w:trPr>
        <w:tc>
          <w:tcPr>
            <w:tcW w:w="3261" w:type="dxa"/>
          </w:tcPr>
          <w:p>
            <w:pPr>
              <w:pStyle w:val="TableParagraph"/>
              <w:rPr>
                <w:sz w:val="24"/>
              </w:rPr>
            </w:pPr>
            <w:r>
              <w:rPr>
                <w:sz w:val="24"/>
              </w:rPr>
              <w:t>Tenure</w:t>
            </w:r>
            <w:r>
              <w:rPr>
                <w:spacing w:val="-8"/>
                <w:sz w:val="24"/>
              </w:rPr>
              <w:t> </w:t>
            </w:r>
            <w:r>
              <w:rPr>
                <w:sz w:val="24"/>
              </w:rPr>
              <w:t>probationary</w:t>
            </w:r>
            <w:r>
              <w:rPr>
                <w:spacing w:val="-8"/>
                <w:sz w:val="24"/>
              </w:rPr>
              <w:t> </w:t>
            </w:r>
            <w:r>
              <w:rPr>
                <w:spacing w:val="-2"/>
                <w:sz w:val="24"/>
              </w:rPr>
              <w:t>faculty</w:t>
            </w:r>
          </w:p>
        </w:tc>
        <w:tc>
          <w:tcPr>
            <w:tcW w:w="1929" w:type="dxa"/>
          </w:tcPr>
          <w:p>
            <w:pPr>
              <w:pStyle w:val="TableParagraph"/>
              <w:ind w:left="199" w:right="560"/>
              <w:jc w:val="center"/>
              <w:rPr>
                <w:sz w:val="24"/>
              </w:rPr>
            </w:pPr>
            <w:r>
              <w:rPr>
                <w:spacing w:val="-5"/>
                <w:sz w:val="24"/>
              </w:rPr>
              <w:t>40%</w:t>
            </w:r>
          </w:p>
        </w:tc>
        <w:tc>
          <w:tcPr>
            <w:tcW w:w="2511" w:type="dxa"/>
          </w:tcPr>
          <w:p>
            <w:pPr>
              <w:pStyle w:val="TableParagraph"/>
              <w:ind w:left="971"/>
              <w:rPr>
                <w:sz w:val="24"/>
              </w:rPr>
            </w:pPr>
            <w:r>
              <w:rPr>
                <w:spacing w:val="-5"/>
                <w:sz w:val="24"/>
              </w:rPr>
              <w:t>50%</w:t>
            </w:r>
          </w:p>
        </w:tc>
        <w:tc>
          <w:tcPr>
            <w:tcW w:w="1420" w:type="dxa"/>
          </w:tcPr>
          <w:p>
            <w:pPr>
              <w:pStyle w:val="TableParagraph"/>
              <w:ind w:left="354"/>
              <w:rPr>
                <w:sz w:val="24"/>
              </w:rPr>
            </w:pPr>
            <w:r>
              <w:rPr>
                <w:spacing w:val="-5"/>
                <w:sz w:val="24"/>
              </w:rPr>
              <w:t>10%</w:t>
            </w:r>
          </w:p>
        </w:tc>
      </w:tr>
      <w:tr>
        <w:trPr>
          <w:trHeight w:val="552" w:hRule="atLeast"/>
        </w:trPr>
        <w:tc>
          <w:tcPr>
            <w:tcW w:w="3261" w:type="dxa"/>
          </w:tcPr>
          <w:p>
            <w:pPr>
              <w:pStyle w:val="TableParagraph"/>
              <w:rPr>
                <w:sz w:val="24"/>
              </w:rPr>
            </w:pPr>
            <w:r>
              <w:rPr>
                <w:sz w:val="24"/>
              </w:rPr>
              <w:t>Tenured</w:t>
            </w:r>
            <w:r>
              <w:rPr>
                <w:spacing w:val="-9"/>
                <w:sz w:val="24"/>
              </w:rPr>
              <w:t> </w:t>
            </w:r>
            <w:r>
              <w:rPr>
                <w:spacing w:val="-2"/>
                <w:sz w:val="24"/>
              </w:rPr>
              <w:t>faculty</w:t>
            </w:r>
          </w:p>
        </w:tc>
        <w:tc>
          <w:tcPr>
            <w:tcW w:w="1929" w:type="dxa"/>
          </w:tcPr>
          <w:p>
            <w:pPr>
              <w:pStyle w:val="TableParagraph"/>
              <w:ind w:left="199" w:right="560"/>
              <w:jc w:val="center"/>
              <w:rPr>
                <w:sz w:val="24"/>
              </w:rPr>
            </w:pPr>
            <w:r>
              <w:rPr>
                <w:spacing w:val="-5"/>
                <w:sz w:val="24"/>
              </w:rPr>
              <w:t>40%</w:t>
            </w:r>
          </w:p>
        </w:tc>
        <w:tc>
          <w:tcPr>
            <w:tcW w:w="2511" w:type="dxa"/>
          </w:tcPr>
          <w:p>
            <w:pPr>
              <w:pStyle w:val="TableParagraph"/>
              <w:ind w:left="971"/>
              <w:rPr>
                <w:sz w:val="24"/>
              </w:rPr>
            </w:pPr>
            <w:r>
              <w:rPr>
                <w:spacing w:val="-5"/>
                <w:sz w:val="24"/>
              </w:rPr>
              <w:t>40%</w:t>
            </w:r>
          </w:p>
        </w:tc>
        <w:tc>
          <w:tcPr>
            <w:tcW w:w="1420" w:type="dxa"/>
          </w:tcPr>
          <w:p>
            <w:pPr>
              <w:pStyle w:val="TableParagraph"/>
              <w:ind w:left="354"/>
              <w:rPr>
                <w:sz w:val="24"/>
              </w:rPr>
            </w:pPr>
            <w:r>
              <w:rPr>
                <w:spacing w:val="-5"/>
                <w:sz w:val="24"/>
              </w:rPr>
              <w:t>20%</w:t>
            </w:r>
          </w:p>
        </w:tc>
      </w:tr>
      <w:tr>
        <w:trPr>
          <w:trHeight w:val="384" w:hRule="atLeast"/>
        </w:trPr>
        <w:tc>
          <w:tcPr>
            <w:tcW w:w="3261" w:type="dxa"/>
            <w:tcBorders>
              <w:bottom w:val="single" w:sz="8" w:space="0" w:color="000000"/>
            </w:tcBorders>
          </w:tcPr>
          <w:p>
            <w:pPr>
              <w:pStyle w:val="TableParagraph"/>
              <w:spacing w:line="230" w:lineRule="exact"/>
              <w:rPr>
                <w:sz w:val="24"/>
              </w:rPr>
            </w:pPr>
            <w:r>
              <w:rPr>
                <w:sz w:val="24"/>
              </w:rPr>
              <w:t>Clinical</w:t>
            </w:r>
            <w:r>
              <w:rPr>
                <w:spacing w:val="-9"/>
                <w:sz w:val="24"/>
              </w:rPr>
              <w:t> </w:t>
            </w:r>
            <w:r>
              <w:rPr>
                <w:spacing w:val="-2"/>
                <w:sz w:val="24"/>
              </w:rPr>
              <w:t>faculty</w:t>
            </w:r>
          </w:p>
        </w:tc>
        <w:tc>
          <w:tcPr>
            <w:tcW w:w="1929" w:type="dxa"/>
            <w:tcBorders>
              <w:bottom w:val="single" w:sz="8" w:space="0" w:color="000000"/>
            </w:tcBorders>
          </w:tcPr>
          <w:p>
            <w:pPr>
              <w:pStyle w:val="TableParagraph"/>
              <w:spacing w:line="230" w:lineRule="exact"/>
              <w:ind w:left="329" w:right="558"/>
              <w:jc w:val="center"/>
              <w:rPr>
                <w:sz w:val="24"/>
              </w:rPr>
            </w:pPr>
            <w:r>
              <w:rPr>
                <w:sz w:val="24"/>
              </w:rPr>
              <w:t>40</w:t>
            </w:r>
            <w:r>
              <w:rPr>
                <w:spacing w:val="-1"/>
                <w:sz w:val="24"/>
              </w:rPr>
              <w:t> </w:t>
            </w:r>
            <w:r>
              <w:rPr>
                <w:sz w:val="24"/>
              </w:rPr>
              <w:t>–</w:t>
            </w:r>
            <w:r>
              <w:rPr>
                <w:spacing w:val="-2"/>
                <w:sz w:val="24"/>
              </w:rPr>
              <w:t> </w:t>
            </w:r>
            <w:r>
              <w:rPr>
                <w:spacing w:val="-5"/>
                <w:sz w:val="24"/>
              </w:rPr>
              <w:t>60%</w:t>
            </w:r>
          </w:p>
        </w:tc>
        <w:tc>
          <w:tcPr>
            <w:tcW w:w="2511" w:type="dxa"/>
            <w:tcBorders>
              <w:bottom w:val="single" w:sz="8" w:space="0" w:color="000000"/>
            </w:tcBorders>
          </w:tcPr>
          <w:p>
            <w:pPr>
              <w:pStyle w:val="TableParagraph"/>
              <w:spacing w:line="230" w:lineRule="exact"/>
              <w:ind w:right="203"/>
              <w:jc w:val="center"/>
              <w:rPr>
                <w:sz w:val="24"/>
              </w:rPr>
            </w:pPr>
            <w:r>
              <w:rPr>
                <w:w w:val="99"/>
                <w:sz w:val="24"/>
              </w:rPr>
              <w:t>*</w:t>
            </w:r>
          </w:p>
        </w:tc>
        <w:tc>
          <w:tcPr>
            <w:tcW w:w="1420" w:type="dxa"/>
            <w:tcBorders>
              <w:bottom w:val="single" w:sz="8" w:space="0" w:color="000000"/>
            </w:tcBorders>
          </w:tcPr>
          <w:p>
            <w:pPr>
              <w:pStyle w:val="TableParagraph"/>
              <w:spacing w:line="230" w:lineRule="exact"/>
              <w:ind w:left="220" w:right="-15"/>
              <w:rPr>
                <w:sz w:val="24"/>
              </w:rPr>
            </w:pPr>
            <w:r>
              <w:rPr>
                <w:sz w:val="24"/>
              </w:rPr>
              <w:t>40</w:t>
            </w:r>
            <w:r>
              <w:rPr>
                <w:spacing w:val="-1"/>
                <w:sz w:val="24"/>
              </w:rPr>
              <w:t> </w:t>
            </w:r>
            <w:r>
              <w:rPr>
                <w:sz w:val="24"/>
              </w:rPr>
              <w:t>–</w:t>
            </w:r>
            <w:r>
              <w:rPr>
                <w:spacing w:val="-2"/>
                <w:sz w:val="24"/>
              </w:rPr>
              <w:t> 60%**</w:t>
            </w:r>
          </w:p>
        </w:tc>
      </w:tr>
    </w:tbl>
    <w:p>
      <w:pPr>
        <w:pStyle w:val="BodyText"/>
        <w:spacing w:before="6"/>
      </w:pPr>
    </w:p>
    <w:p>
      <w:pPr>
        <w:pStyle w:val="BodyText"/>
        <w:ind w:left="100" w:right="181"/>
      </w:pPr>
      <w:r>
        <w:rPr/>
        <w:t>*</w:t>
      </w:r>
      <w:r>
        <w:rPr>
          <w:spacing w:val="40"/>
        </w:rPr>
        <w:t> </w:t>
      </w:r>
      <w:r>
        <w:rPr/>
        <w:t>Research</w:t>
      </w:r>
      <w:r>
        <w:rPr>
          <w:spacing w:val="-6"/>
        </w:rPr>
        <w:t> </w:t>
      </w:r>
      <w:r>
        <w:rPr/>
        <w:t>and</w:t>
      </w:r>
      <w:r>
        <w:rPr>
          <w:spacing w:val="-3"/>
        </w:rPr>
        <w:t> </w:t>
      </w:r>
      <w:r>
        <w:rPr/>
        <w:t>Creative</w:t>
      </w:r>
      <w:r>
        <w:rPr>
          <w:spacing w:val="-3"/>
        </w:rPr>
        <w:t> </w:t>
      </w:r>
      <w:r>
        <w:rPr/>
        <w:t>Activity</w:t>
      </w:r>
      <w:r>
        <w:rPr>
          <w:spacing w:val="-3"/>
        </w:rPr>
        <w:t> </w:t>
      </w:r>
      <w:r>
        <w:rPr/>
        <w:t>should</w:t>
      </w:r>
      <w:r>
        <w:rPr>
          <w:spacing w:val="-3"/>
        </w:rPr>
        <w:t> </w:t>
      </w:r>
      <w:r>
        <w:rPr/>
        <w:t>align</w:t>
      </w:r>
      <w:r>
        <w:rPr>
          <w:spacing w:val="-3"/>
        </w:rPr>
        <w:t> </w:t>
      </w:r>
      <w:r>
        <w:rPr/>
        <w:t>with</w:t>
      </w:r>
      <w:r>
        <w:rPr>
          <w:spacing w:val="-3"/>
        </w:rPr>
        <w:t> </w:t>
      </w:r>
      <w:r>
        <w:rPr/>
        <w:t>the</w:t>
      </w:r>
      <w:r>
        <w:rPr>
          <w:spacing w:val="-3"/>
        </w:rPr>
        <w:t> </w:t>
      </w:r>
      <w:r>
        <w:rPr/>
        <w:t>scholarship</w:t>
      </w:r>
      <w:r>
        <w:rPr>
          <w:spacing w:val="-5"/>
        </w:rPr>
        <w:t> </w:t>
      </w:r>
      <w:r>
        <w:rPr/>
        <w:t>noted</w:t>
      </w:r>
      <w:r>
        <w:rPr>
          <w:spacing w:val="-5"/>
        </w:rPr>
        <w:t> </w:t>
      </w:r>
      <w:r>
        <w:rPr/>
        <w:t>in</w:t>
      </w:r>
      <w:r>
        <w:rPr>
          <w:spacing w:val="-3"/>
        </w:rPr>
        <w:t> </w:t>
      </w:r>
      <w:r>
        <w:rPr/>
        <w:t>the promotion guidelines for clinical faculty.</w:t>
      </w:r>
    </w:p>
    <w:p>
      <w:pPr>
        <w:pStyle w:val="BodyText"/>
        <w:spacing w:before="2"/>
      </w:pPr>
    </w:p>
    <w:p>
      <w:pPr>
        <w:pStyle w:val="BodyText"/>
        <w:spacing w:line="237" w:lineRule="auto" w:before="1"/>
        <w:ind w:left="100" w:right="102"/>
        <w:rPr>
          <w:rFonts w:ascii="Times New Roman"/>
        </w:rPr>
      </w:pPr>
      <w:r>
        <w:rPr/>
        <w:t>**</w:t>
      </w:r>
      <w:r>
        <w:rPr>
          <w:spacing w:val="-3"/>
        </w:rPr>
        <w:t> </w:t>
      </w:r>
      <w:r>
        <w:rPr/>
        <w:t>Service</w:t>
      </w:r>
      <w:r>
        <w:rPr>
          <w:spacing w:val="-3"/>
        </w:rPr>
        <w:t> </w:t>
      </w:r>
      <w:r>
        <w:rPr/>
        <w:t>commitments</w:t>
      </w:r>
      <w:r>
        <w:rPr>
          <w:spacing w:val="-3"/>
        </w:rPr>
        <w:t> </w:t>
      </w:r>
      <w:r>
        <w:rPr/>
        <w:t>for</w:t>
      </w:r>
      <w:r>
        <w:rPr>
          <w:spacing w:val="-3"/>
        </w:rPr>
        <w:t> </w:t>
      </w:r>
      <w:r>
        <w:rPr/>
        <w:t>clinical</w:t>
      </w:r>
      <w:r>
        <w:rPr>
          <w:spacing w:val="-6"/>
        </w:rPr>
        <w:t> </w:t>
      </w:r>
      <w:r>
        <w:rPr/>
        <w:t>faculty</w:t>
      </w:r>
      <w:r>
        <w:rPr>
          <w:spacing w:val="-6"/>
        </w:rPr>
        <w:t> </w:t>
      </w:r>
      <w:r>
        <w:rPr/>
        <w:t>are</w:t>
      </w:r>
      <w:r>
        <w:rPr>
          <w:spacing w:val="-3"/>
        </w:rPr>
        <w:t> </w:t>
      </w:r>
      <w:r>
        <w:rPr/>
        <w:t>often</w:t>
      </w:r>
      <w:r>
        <w:rPr>
          <w:spacing w:val="-3"/>
        </w:rPr>
        <w:t> </w:t>
      </w:r>
      <w:r>
        <w:rPr/>
        <w:t>extensive,</w:t>
      </w:r>
      <w:r>
        <w:rPr>
          <w:spacing w:val="-3"/>
        </w:rPr>
        <w:t> </w:t>
      </w:r>
      <w:r>
        <w:rPr/>
        <w:t>long-term,</w:t>
      </w:r>
      <w:r>
        <w:rPr>
          <w:spacing w:val="-3"/>
        </w:rPr>
        <w:t> </w:t>
      </w:r>
      <w:r>
        <w:rPr/>
        <w:t>reach</w:t>
      </w:r>
      <w:r>
        <w:rPr>
          <w:spacing w:val="-5"/>
        </w:rPr>
        <w:t> </w:t>
      </w:r>
      <w:r>
        <w:rPr/>
        <w:t>beyond the campus, and are substantially different from those of tenure faculty. As per the </w:t>
      </w:r>
      <w:r>
        <w:rPr>
          <w:rFonts w:ascii="Times New Roman"/>
        </w:rPr>
        <w:t>POLICIES FOR LECTURER AND CLINICAL APPOINTMENTS</w:t>
      </w:r>
    </w:p>
    <w:p>
      <w:pPr>
        <w:spacing w:line="242" w:lineRule="auto" w:before="1"/>
        <w:ind w:left="100" w:right="102" w:firstLine="0"/>
        <w:jc w:val="left"/>
        <w:rPr>
          <w:sz w:val="24"/>
        </w:rPr>
      </w:pPr>
      <w:hyperlink r:id="rId6">
        <w:r>
          <w:rPr>
            <w:color w:val="0000FF"/>
            <w:sz w:val="22"/>
            <w:u w:val="single" w:color="0000FF"/>
          </w:rPr>
          <w:t>http://www.indiana.edu/~bfc/docs/policies/lecturerClinicalAppointments.pdf</w:t>
        </w:r>
      </w:hyperlink>
      <w:r>
        <w:rPr>
          <w:color w:val="0000FF"/>
          <w:spacing w:val="-6"/>
          <w:sz w:val="22"/>
        </w:rPr>
        <w:t> </w:t>
      </w:r>
      <w:r>
        <w:rPr>
          <w:rFonts w:ascii="Times New Roman" w:hAnsi="Times New Roman"/>
          <w:sz w:val="24"/>
        </w:rPr>
        <w:t>,</w:t>
      </w:r>
      <w:r>
        <w:rPr>
          <w:rFonts w:ascii="Times New Roman" w:hAnsi="Times New Roman"/>
          <w:spacing w:val="-10"/>
          <w:sz w:val="24"/>
        </w:rPr>
        <w:t> </w:t>
      </w:r>
      <w:r>
        <w:rPr>
          <w:sz w:val="24"/>
        </w:rPr>
        <w:t>“In</w:t>
      </w:r>
      <w:r>
        <w:rPr>
          <w:spacing w:val="-11"/>
          <w:sz w:val="24"/>
        </w:rPr>
        <w:t> </w:t>
      </w:r>
      <w:r>
        <w:rPr>
          <w:sz w:val="24"/>
        </w:rPr>
        <w:t>addition,</w:t>
      </w:r>
      <w:r>
        <w:rPr>
          <w:spacing w:val="-11"/>
          <w:sz w:val="24"/>
        </w:rPr>
        <w:t> </w:t>
      </w:r>
      <w:r>
        <w:rPr>
          <w:sz w:val="24"/>
        </w:rPr>
        <w:t>in cases</w:t>
      </w:r>
      <w:r>
        <w:rPr>
          <w:spacing w:val="-3"/>
          <w:sz w:val="24"/>
        </w:rPr>
        <w:t> </w:t>
      </w:r>
      <w:r>
        <w:rPr>
          <w:sz w:val="24"/>
        </w:rPr>
        <w:t>where</w:t>
      </w:r>
      <w:r>
        <w:rPr>
          <w:spacing w:val="-3"/>
          <w:sz w:val="24"/>
        </w:rPr>
        <w:t> </w:t>
      </w:r>
      <w:r>
        <w:rPr>
          <w:sz w:val="24"/>
        </w:rPr>
        <w:t>major</w:t>
      </w:r>
      <w:r>
        <w:rPr>
          <w:spacing w:val="-3"/>
          <w:sz w:val="24"/>
        </w:rPr>
        <w:t> </w:t>
      </w:r>
      <w:r>
        <w:rPr>
          <w:sz w:val="24"/>
        </w:rPr>
        <w:t>service</w:t>
      </w:r>
      <w:r>
        <w:rPr>
          <w:spacing w:val="-3"/>
          <w:sz w:val="24"/>
        </w:rPr>
        <w:t> </w:t>
      </w:r>
      <w:r>
        <w:rPr>
          <w:sz w:val="24"/>
        </w:rPr>
        <w:t>duties significantly</w:t>
      </w:r>
      <w:r>
        <w:rPr>
          <w:spacing w:val="-5"/>
          <w:sz w:val="24"/>
        </w:rPr>
        <w:t> </w:t>
      </w:r>
      <w:r>
        <w:rPr>
          <w:sz w:val="24"/>
        </w:rPr>
        <w:t>exceed</w:t>
      </w:r>
      <w:r>
        <w:rPr>
          <w:spacing w:val="-3"/>
          <w:sz w:val="24"/>
        </w:rPr>
        <w:t> </w:t>
      </w:r>
      <w:r>
        <w:rPr>
          <w:sz w:val="24"/>
        </w:rPr>
        <w:t>unit</w:t>
      </w:r>
      <w:r>
        <w:rPr>
          <w:spacing w:val="-3"/>
          <w:sz w:val="24"/>
        </w:rPr>
        <w:t> </w:t>
      </w:r>
      <w:r>
        <w:rPr>
          <w:sz w:val="24"/>
        </w:rPr>
        <w:t>average</w:t>
      </w:r>
      <w:r>
        <w:rPr>
          <w:spacing w:val="-3"/>
          <w:sz w:val="24"/>
        </w:rPr>
        <w:t> </w:t>
      </w:r>
      <w:r>
        <w:rPr>
          <w:sz w:val="24"/>
        </w:rPr>
        <w:t>loads</w:t>
      </w:r>
      <w:r>
        <w:rPr>
          <w:spacing w:val="-5"/>
          <w:sz w:val="24"/>
        </w:rPr>
        <w:t> </w:t>
      </w:r>
      <w:r>
        <w:rPr>
          <w:sz w:val="24"/>
        </w:rPr>
        <w:t>for</w:t>
      </w:r>
      <w:r>
        <w:rPr>
          <w:spacing w:val="-3"/>
          <w:sz w:val="24"/>
        </w:rPr>
        <w:t> </w:t>
      </w:r>
      <w:r>
        <w:rPr>
          <w:sz w:val="24"/>
        </w:rPr>
        <w:t>student advising, curricular administration, and unit committee work, these should be accommodated by additional reduction in teaching loads.”</w:t>
      </w:r>
    </w:p>
    <w:p>
      <w:pPr>
        <w:pStyle w:val="BodyText"/>
        <w:spacing w:before="5"/>
        <w:rPr>
          <w:sz w:val="23"/>
        </w:rPr>
      </w:pPr>
    </w:p>
    <w:p>
      <w:pPr>
        <w:pStyle w:val="BodyText"/>
        <w:ind w:left="100" w:right="203"/>
      </w:pPr>
      <w:r>
        <w:rPr/>
        <w:t>These allocations are an attempt to acknowledge that tenure probationary, tenured faculty,</w:t>
      </w:r>
      <w:r>
        <w:rPr>
          <w:spacing w:val="-2"/>
        </w:rPr>
        <w:t> </w:t>
      </w:r>
      <w:r>
        <w:rPr/>
        <w:t>and</w:t>
      </w:r>
      <w:r>
        <w:rPr>
          <w:spacing w:val="-2"/>
        </w:rPr>
        <w:t> </w:t>
      </w:r>
      <w:r>
        <w:rPr/>
        <w:t>clinical</w:t>
      </w:r>
      <w:r>
        <w:rPr>
          <w:spacing w:val="-5"/>
        </w:rPr>
        <w:t> </w:t>
      </w:r>
      <w:r>
        <w:rPr/>
        <w:t>faculty</w:t>
      </w:r>
      <w:r>
        <w:rPr>
          <w:spacing w:val="-2"/>
        </w:rPr>
        <w:t> </w:t>
      </w:r>
      <w:r>
        <w:rPr/>
        <w:t>face</w:t>
      </w:r>
      <w:r>
        <w:rPr>
          <w:spacing w:val="-2"/>
        </w:rPr>
        <w:t> </w:t>
      </w:r>
      <w:r>
        <w:rPr/>
        <w:t>different</w:t>
      </w:r>
      <w:r>
        <w:rPr>
          <w:spacing w:val="-4"/>
        </w:rPr>
        <w:t> </w:t>
      </w:r>
      <w:r>
        <w:rPr/>
        <w:t>expectations</w:t>
      </w:r>
      <w:r>
        <w:rPr>
          <w:spacing w:val="-3"/>
        </w:rPr>
        <w:t> </w:t>
      </w:r>
      <w:r>
        <w:rPr/>
        <w:t>for</w:t>
      </w:r>
      <w:r>
        <w:rPr>
          <w:spacing w:val="-2"/>
        </w:rPr>
        <w:t> </w:t>
      </w:r>
      <w:r>
        <w:rPr/>
        <w:t>how</w:t>
      </w:r>
      <w:r>
        <w:rPr>
          <w:spacing w:val="-5"/>
        </w:rPr>
        <w:t> </w:t>
      </w:r>
      <w:r>
        <w:rPr/>
        <w:t>their</w:t>
      </w:r>
      <w:r>
        <w:rPr>
          <w:spacing w:val="-2"/>
        </w:rPr>
        <w:t> </w:t>
      </w:r>
      <w:r>
        <w:rPr/>
        <w:t>time</w:t>
      </w:r>
      <w:r>
        <w:rPr>
          <w:spacing w:val="-2"/>
        </w:rPr>
        <w:t> </w:t>
      </w:r>
      <w:r>
        <w:rPr/>
        <w:t>is</w:t>
      </w:r>
      <w:r>
        <w:rPr>
          <w:spacing w:val="-4"/>
        </w:rPr>
        <w:t> </w:t>
      </w:r>
      <w:r>
        <w:rPr/>
        <w:t>allocated, with a reduced emphasis on service for tenure probationary faculty.</w:t>
      </w:r>
      <w:r>
        <w:rPr>
          <w:spacing w:val="40"/>
        </w:rPr>
        <w:t> </w:t>
      </w:r>
      <w:r>
        <w:rPr/>
        <w:t>A focus on teaching and service gives due regard to the contributions of clinical faculty and acknowledges the varying roles that clinical faculty assume.</w:t>
      </w:r>
    </w:p>
    <w:p>
      <w:pPr>
        <w:spacing w:after="0"/>
        <w:sectPr>
          <w:headerReference w:type="default" r:id="rId5"/>
          <w:type w:val="continuous"/>
          <w:pgSz w:w="12240" w:h="15840"/>
          <w:pgMar w:header="763" w:footer="0" w:top="1340" w:bottom="280" w:left="1340" w:right="1340"/>
          <w:pgNumType w:start="1"/>
        </w:sectPr>
      </w:pPr>
    </w:p>
    <w:p>
      <w:pPr>
        <w:pStyle w:val="BodyText"/>
        <w:spacing w:before="82"/>
        <w:ind w:left="100" w:right="181"/>
      </w:pPr>
      <w:r>
        <w:rPr/>
        <w:t>The committee does not recommend setting separate expectations between the associate and full professor ranks.</w:t>
      </w:r>
      <w:r>
        <w:rPr>
          <w:spacing w:val="40"/>
        </w:rPr>
        <w:t> </w:t>
      </w:r>
      <w:r>
        <w:rPr/>
        <w:t>A variety of three-tiered systems were discussed, but</w:t>
      </w:r>
      <w:r>
        <w:rPr>
          <w:spacing w:val="-4"/>
        </w:rPr>
        <w:t> </w:t>
      </w:r>
      <w:r>
        <w:rPr/>
        <w:t>committee</w:t>
      </w:r>
      <w:r>
        <w:rPr>
          <w:spacing w:val="-6"/>
        </w:rPr>
        <w:t> </w:t>
      </w:r>
      <w:r>
        <w:rPr/>
        <w:t>members</w:t>
      </w:r>
      <w:r>
        <w:rPr>
          <w:spacing w:val="-4"/>
        </w:rPr>
        <w:t> </w:t>
      </w:r>
      <w:r>
        <w:rPr/>
        <w:t>identified</w:t>
      </w:r>
      <w:r>
        <w:rPr>
          <w:spacing w:val="-4"/>
        </w:rPr>
        <w:t> </w:t>
      </w:r>
      <w:r>
        <w:rPr/>
        <w:t>several</w:t>
      </w:r>
      <w:r>
        <w:rPr>
          <w:spacing w:val="-4"/>
        </w:rPr>
        <w:t> </w:t>
      </w:r>
      <w:r>
        <w:rPr/>
        <w:t>problems</w:t>
      </w:r>
      <w:r>
        <w:rPr>
          <w:spacing w:val="-4"/>
        </w:rPr>
        <w:t> </w:t>
      </w:r>
      <w:r>
        <w:rPr/>
        <w:t>with</w:t>
      </w:r>
      <w:r>
        <w:rPr>
          <w:spacing w:val="-4"/>
        </w:rPr>
        <w:t> </w:t>
      </w:r>
      <w:r>
        <w:rPr/>
        <w:t>each</w:t>
      </w:r>
      <w:r>
        <w:rPr>
          <w:spacing w:val="-4"/>
        </w:rPr>
        <w:t> </w:t>
      </w:r>
      <w:r>
        <w:rPr/>
        <w:t>three-tiered</w:t>
      </w:r>
      <w:r>
        <w:rPr>
          <w:spacing w:val="-4"/>
        </w:rPr>
        <w:t> </w:t>
      </w:r>
      <w:r>
        <w:rPr/>
        <w:t>system</w:t>
      </w:r>
      <w:r>
        <w:rPr>
          <w:spacing w:val="-5"/>
        </w:rPr>
        <w:t> </w:t>
      </w:r>
      <w:r>
        <w:rPr/>
        <w:t>that the two-tiered system largely avoids.</w:t>
      </w:r>
    </w:p>
    <w:p>
      <w:pPr>
        <w:pStyle w:val="BodyText"/>
      </w:pPr>
    </w:p>
    <w:p>
      <w:pPr>
        <w:pStyle w:val="BodyText"/>
        <w:ind w:left="100" w:right="102"/>
      </w:pPr>
      <w:r>
        <w:rPr/>
        <w:t>The</w:t>
      </w:r>
      <w:r>
        <w:rPr>
          <w:spacing w:val="-3"/>
        </w:rPr>
        <w:t> </w:t>
      </w:r>
      <w:r>
        <w:rPr/>
        <w:t>committee</w:t>
      </w:r>
      <w:r>
        <w:rPr>
          <w:spacing w:val="-3"/>
        </w:rPr>
        <w:t> </w:t>
      </w:r>
      <w:r>
        <w:rPr/>
        <w:t>recommends</w:t>
      </w:r>
      <w:r>
        <w:rPr>
          <w:spacing w:val="-3"/>
        </w:rPr>
        <w:t> </w:t>
      </w:r>
      <w:r>
        <w:rPr/>
        <w:t>establishing</w:t>
      </w:r>
      <w:r>
        <w:rPr>
          <w:spacing w:val="-4"/>
        </w:rPr>
        <w:t> </w:t>
      </w:r>
      <w:r>
        <w:rPr/>
        <w:t>40%</w:t>
      </w:r>
      <w:r>
        <w:rPr>
          <w:spacing w:val="-3"/>
        </w:rPr>
        <w:t> </w:t>
      </w:r>
      <w:r>
        <w:rPr/>
        <w:t>as</w:t>
      </w:r>
      <w:r>
        <w:rPr>
          <w:spacing w:val="-3"/>
        </w:rPr>
        <w:t> </w:t>
      </w:r>
      <w:r>
        <w:rPr/>
        <w:t>the</w:t>
      </w:r>
      <w:r>
        <w:rPr>
          <w:spacing w:val="-3"/>
        </w:rPr>
        <w:t> </w:t>
      </w:r>
      <w:r>
        <w:rPr/>
        <w:t>baseline</w:t>
      </w:r>
      <w:r>
        <w:rPr>
          <w:spacing w:val="-5"/>
        </w:rPr>
        <w:t> </w:t>
      </w:r>
      <w:r>
        <w:rPr/>
        <w:t>for</w:t>
      </w:r>
      <w:r>
        <w:rPr>
          <w:spacing w:val="-3"/>
        </w:rPr>
        <w:t> </w:t>
      </w:r>
      <w:r>
        <w:rPr/>
        <w:t>teaching</w:t>
      </w:r>
      <w:r>
        <w:rPr>
          <w:spacing w:val="-4"/>
        </w:rPr>
        <w:t> </w:t>
      </w:r>
      <w:r>
        <w:rPr/>
        <w:t>effort</w:t>
      </w:r>
      <w:r>
        <w:rPr>
          <w:spacing w:val="-3"/>
        </w:rPr>
        <w:t> </w:t>
      </w:r>
      <w:r>
        <w:rPr/>
        <w:t>rather than a more traditional 50% to reflect our status as a major research university.</w:t>
      </w:r>
    </w:p>
    <w:p>
      <w:pPr>
        <w:pStyle w:val="BodyText"/>
      </w:pPr>
    </w:p>
    <w:p>
      <w:pPr>
        <w:pStyle w:val="BodyText"/>
        <w:ind w:left="100" w:right="102"/>
      </w:pPr>
      <w:r>
        <w:rPr/>
        <w:t>The committee believes that a 12.5% buy-out per course is appropriate, but the committee</w:t>
      </w:r>
      <w:r>
        <w:rPr>
          <w:spacing w:val="-2"/>
        </w:rPr>
        <w:t> </w:t>
      </w:r>
      <w:r>
        <w:rPr/>
        <w:t>also</w:t>
      </w:r>
      <w:r>
        <w:rPr>
          <w:spacing w:val="-4"/>
        </w:rPr>
        <w:t> </w:t>
      </w:r>
      <w:r>
        <w:rPr/>
        <w:t>emphasizes</w:t>
      </w:r>
      <w:r>
        <w:rPr>
          <w:spacing w:val="-2"/>
        </w:rPr>
        <w:t> </w:t>
      </w:r>
      <w:r>
        <w:rPr/>
        <w:t>that</w:t>
      </w:r>
      <w:r>
        <w:rPr>
          <w:spacing w:val="-4"/>
        </w:rPr>
        <w:t> </w:t>
      </w:r>
      <w:r>
        <w:rPr/>
        <w:t>faculty</w:t>
      </w:r>
      <w:r>
        <w:rPr>
          <w:spacing w:val="-5"/>
        </w:rPr>
        <w:t> </w:t>
      </w:r>
      <w:r>
        <w:rPr/>
        <w:t>may</w:t>
      </w:r>
      <w:r>
        <w:rPr>
          <w:spacing w:val="-5"/>
        </w:rPr>
        <w:t> </w:t>
      </w:r>
      <w:r>
        <w:rPr/>
        <w:t>be</w:t>
      </w:r>
      <w:r>
        <w:rPr>
          <w:spacing w:val="-2"/>
        </w:rPr>
        <w:t> </w:t>
      </w:r>
      <w:r>
        <w:rPr/>
        <w:t>involved</w:t>
      </w:r>
      <w:r>
        <w:rPr>
          <w:spacing w:val="-2"/>
        </w:rPr>
        <w:t> </w:t>
      </w:r>
      <w:r>
        <w:rPr/>
        <w:t>in</w:t>
      </w:r>
      <w:r>
        <w:rPr>
          <w:spacing w:val="-2"/>
        </w:rPr>
        <w:t> </w:t>
      </w:r>
      <w:r>
        <w:rPr/>
        <w:t>projects</w:t>
      </w:r>
      <w:r>
        <w:rPr>
          <w:spacing w:val="-6"/>
        </w:rPr>
        <w:t> </w:t>
      </w:r>
      <w:r>
        <w:rPr/>
        <w:t>that</w:t>
      </w:r>
      <w:r>
        <w:rPr>
          <w:spacing w:val="-2"/>
        </w:rPr>
        <w:t> </w:t>
      </w:r>
      <w:r>
        <w:rPr/>
        <w:t>require</w:t>
      </w:r>
      <w:r>
        <w:rPr>
          <w:spacing w:val="-4"/>
        </w:rPr>
        <w:t> </w:t>
      </w:r>
      <w:r>
        <w:rPr/>
        <w:t>buy-out service time (i.e., some projects may require a substantial decrease in time devoted to service within one’s program and or department).</w:t>
      </w:r>
    </w:p>
    <w:p>
      <w:pPr>
        <w:pStyle w:val="BodyText"/>
        <w:spacing w:before="1"/>
      </w:pPr>
    </w:p>
    <w:p>
      <w:pPr>
        <w:pStyle w:val="Heading1"/>
      </w:pPr>
      <w:r>
        <w:rPr>
          <w:spacing w:val="-2"/>
        </w:rPr>
        <w:t>Definitions</w:t>
      </w:r>
    </w:p>
    <w:p>
      <w:pPr>
        <w:pStyle w:val="BodyText"/>
        <w:rPr>
          <w:b/>
        </w:rPr>
      </w:pPr>
    </w:p>
    <w:p>
      <w:pPr>
        <w:pStyle w:val="BodyText"/>
        <w:ind w:left="100" w:right="102"/>
      </w:pPr>
      <w:r>
        <w:rPr/>
        <w:t>The</w:t>
      </w:r>
      <w:r>
        <w:rPr>
          <w:spacing w:val="-3"/>
        </w:rPr>
        <w:t> </w:t>
      </w:r>
      <w:r>
        <w:rPr/>
        <w:t>definitions</w:t>
      </w:r>
      <w:r>
        <w:rPr>
          <w:spacing w:val="-3"/>
        </w:rPr>
        <w:t> </w:t>
      </w:r>
      <w:r>
        <w:rPr/>
        <w:t>of</w:t>
      </w:r>
      <w:r>
        <w:rPr>
          <w:spacing w:val="-3"/>
        </w:rPr>
        <w:t> </w:t>
      </w:r>
      <w:r>
        <w:rPr/>
        <w:t>the</w:t>
      </w:r>
      <w:r>
        <w:rPr>
          <w:spacing w:val="-3"/>
        </w:rPr>
        <w:t> </w:t>
      </w:r>
      <w:r>
        <w:rPr/>
        <w:t>three</w:t>
      </w:r>
      <w:r>
        <w:rPr>
          <w:spacing w:val="-3"/>
        </w:rPr>
        <w:t> </w:t>
      </w:r>
      <w:r>
        <w:rPr/>
        <w:t>traditional</w:t>
      </w:r>
      <w:r>
        <w:rPr>
          <w:spacing w:val="-3"/>
        </w:rPr>
        <w:t> </w:t>
      </w:r>
      <w:r>
        <w:rPr/>
        <w:t>categories</w:t>
      </w:r>
      <w:r>
        <w:rPr>
          <w:spacing w:val="-3"/>
        </w:rPr>
        <w:t> </w:t>
      </w:r>
      <w:r>
        <w:rPr/>
        <w:t>of</w:t>
      </w:r>
      <w:r>
        <w:rPr>
          <w:spacing w:val="-3"/>
        </w:rPr>
        <w:t> </w:t>
      </w:r>
      <w:r>
        <w:rPr/>
        <w:t>faculty</w:t>
      </w:r>
      <w:r>
        <w:rPr>
          <w:spacing w:val="-6"/>
        </w:rPr>
        <w:t> </w:t>
      </w:r>
      <w:r>
        <w:rPr/>
        <w:t>activity</w:t>
      </w:r>
      <w:r>
        <w:rPr>
          <w:spacing w:val="-6"/>
        </w:rPr>
        <w:t> </w:t>
      </w:r>
      <w:r>
        <w:rPr/>
        <w:t>can</w:t>
      </w:r>
      <w:r>
        <w:rPr>
          <w:spacing w:val="-3"/>
        </w:rPr>
        <w:t> </w:t>
      </w:r>
      <w:r>
        <w:rPr/>
        <w:t>be</w:t>
      </w:r>
      <w:r>
        <w:rPr>
          <w:spacing w:val="-7"/>
        </w:rPr>
        <w:t> </w:t>
      </w:r>
      <w:r>
        <w:rPr/>
        <w:t>found</w:t>
      </w:r>
      <w:r>
        <w:rPr>
          <w:spacing w:val="-5"/>
        </w:rPr>
        <w:t> </w:t>
      </w:r>
      <w:r>
        <w:rPr/>
        <w:t>in</w:t>
      </w:r>
      <w:r>
        <w:rPr>
          <w:spacing w:val="-3"/>
        </w:rPr>
        <w:t> </w:t>
      </w:r>
      <w:r>
        <w:rPr/>
        <w:t>the 2002 School of Education Promotion and Tenure Criteria (02.30R).</w:t>
      </w:r>
    </w:p>
    <w:p>
      <w:pPr>
        <w:pStyle w:val="BodyText"/>
      </w:pPr>
    </w:p>
    <w:p>
      <w:pPr>
        <w:pStyle w:val="Heading1"/>
      </w:pPr>
      <w:r>
        <w:rPr>
          <w:spacing w:val="-2"/>
        </w:rPr>
        <w:t>Expectations</w:t>
      </w:r>
    </w:p>
    <w:p>
      <w:pPr>
        <w:pStyle w:val="BodyText"/>
        <w:rPr>
          <w:b/>
        </w:rPr>
      </w:pPr>
    </w:p>
    <w:p>
      <w:pPr>
        <w:pStyle w:val="BodyText"/>
        <w:ind w:left="100" w:right="141"/>
      </w:pPr>
      <w:r>
        <w:rPr/>
        <w:t>Expectations are that the 40% teaching represents a two course three credit hour load per semester, 60% teaching represents a three course three credit hour load per semester and – as noted below – 10% service for tenure probationary faculty</w:t>
      </w:r>
      <w:r>
        <w:rPr>
          <w:spacing w:val="40"/>
        </w:rPr>
        <w:t> </w:t>
      </w:r>
      <w:r>
        <w:rPr/>
        <w:t>represents service on one department or program committee and one school committee. Allocation of service for clinical faculty is determined in agreement with the department chair while taking into consideration program coordination, external agencies, and other academic administration duties.</w:t>
      </w:r>
      <w:r>
        <w:rPr>
          <w:spacing w:val="80"/>
        </w:rPr>
        <w:t> </w:t>
      </w:r>
      <w:r>
        <w:rPr/>
        <w:t>Given the considerable differences in standards for research and creative activity across the many fields represented</w:t>
      </w:r>
      <w:r>
        <w:rPr>
          <w:spacing w:val="-4"/>
        </w:rPr>
        <w:t> </w:t>
      </w:r>
      <w:r>
        <w:rPr/>
        <w:t>in</w:t>
      </w:r>
      <w:r>
        <w:rPr>
          <w:spacing w:val="-4"/>
        </w:rPr>
        <w:t> </w:t>
      </w:r>
      <w:r>
        <w:rPr/>
        <w:t>the</w:t>
      </w:r>
      <w:r>
        <w:rPr>
          <w:spacing w:val="-4"/>
        </w:rPr>
        <w:t> </w:t>
      </w:r>
      <w:r>
        <w:rPr/>
        <w:t>School</w:t>
      </w:r>
      <w:r>
        <w:rPr>
          <w:spacing w:val="-4"/>
        </w:rPr>
        <w:t> </w:t>
      </w:r>
      <w:r>
        <w:rPr/>
        <w:t>of</w:t>
      </w:r>
      <w:r>
        <w:rPr>
          <w:spacing w:val="-4"/>
        </w:rPr>
        <w:t> </w:t>
      </w:r>
      <w:r>
        <w:rPr/>
        <w:t>Education, the</w:t>
      </w:r>
      <w:r>
        <w:rPr>
          <w:spacing w:val="-4"/>
        </w:rPr>
        <w:t> </w:t>
      </w:r>
      <w:r>
        <w:rPr/>
        <w:t>committee</w:t>
      </w:r>
      <w:r>
        <w:rPr>
          <w:spacing w:val="-4"/>
        </w:rPr>
        <w:t> </w:t>
      </w:r>
      <w:r>
        <w:rPr/>
        <w:t>does</w:t>
      </w:r>
      <w:r>
        <w:rPr>
          <w:spacing w:val="-6"/>
        </w:rPr>
        <w:t> </w:t>
      </w:r>
      <w:r>
        <w:rPr/>
        <w:t>not</w:t>
      </w:r>
      <w:r>
        <w:rPr>
          <w:spacing w:val="-4"/>
        </w:rPr>
        <w:t> </w:t>
      </w:r>
      <w:r>
        <w:rPr/>
        <w:t>recommend</w:t>
      </w:r>
      <w:r>
        <w:rPr>
          <w:spacing w:val="-4"/>
        </w:rPr>
        <w:t> </w:t>
      </w:r>
      <w:r>
        <w:rPr/>
        <w:t>suggesting expectations for numbers of publications, conference presentations, and the numerous other activities that fall under this category (e.g., scholarship of research, teaching, and </w:t>
      </w:r>
      <w:r>
        <w:rPr>
          <w:spacing w:val="-2"/>
        </w:rPr>
        <w:t>service).</w:t>
      </w:r>
    </w:p>
    <w:p>
      <w:pPr>
        <w:pStyle w:val="BodyText"/>
        <w:spacing w:before="1"/>
      </w:pPr>
    </w:p>
    <w:p>
      <w:pPr>
        <w:pStyle w:val="Heading1"/>
      </w:pPr>
      <w:r>
        <w:rPr/>
        <w:t>Tenure</w:t>
      </w:r>
      <w:r>
        <w:rPr>
          <w:spacing w:val="-7"/>
        </w:rPr>
        <w:t> </w:t>
      </w:r>
      <w:r>
        <w:rPr/>
        <w:t>Probationary</w:t>
      </w:r>
      <w:r>
        <w:rPr>
          <w:spacing w:val="-9"/>
        </w:rPr>
        <w:t> </w:t>
      </w:r>
      <w:r>
        <w:rPr>
          <w:spacing w:val="-2"/>
        </w:rPr>
        <w:t>Faculty</w:t>
      </w:r>
    </w:p>
    <w:p>
      <w:pPr>
        <w:pStyle w:val="BodyText"/>
        <w:ind w:left="100" w:right="181"/>
      </w:pPr>
      <w:r>
        <w:rPr/>
        <w:t>The committee views 10% service for pre-tenure faculty as service on one department or program committee and one school committee, with limited responsibilities in both cases.</w:t>
      </w:r>
      <w:r>
        <w:rPr>
          <w:spacing w:val="40"/>
        </w:rPr>
        <w:t> </w:t>
      </w:r>
      <w:r>
        <w:rPr/>
        <w:t>The committee recommends that all service requests of pre-tenure faculty be discussed</w:t>
      </w:r>
      <w:r>
        <w:rPr>
          <w:spacing w:val="-5"/>
        </w:rPr>
        <w:t> </w:t>
      </w:r>
      <w:r>
        <w:rPr/>
        <w:t>with</w:t>
      </w:r>
      <w:r>
        <w:rPr>
          <w:spacing w:val="-3"/>
        </w:rPr>
        <w:t> </w:t>
      </w:r>
      <w:r>
        <w:rPr/>
        <w:t>the</w:t>
      </w:r>
      <w:r>
        <w:rPr>
          <w:spacing w:val="-5"/>
        </w:rPr>
        <w:t> </w:t>
      </w:r>
      <w:r>
        <w:rPr/>
        <w:t>faculty</w:t>
      </w:r>
      <w:r>
        <w:rPr>
          <w:spacing w:val="-6"/>
        </w:rPr>
        <w:t> </w:t>
      </w:r>
      <w:r>
        <w:rPr/>
        <w:t>member’s</w:t>
      </w:r>
      <w:r>
        <w:rPr>
          <w:spacing w:val="-3"/>
        </w:rPr>
        <w:t> </w:t>
      </w:r>
      <w:r>
        <w:rPr/>
        <w:t>mentor</w:t>
      </w:r>
      <w:r>
        <w:rPr>
          <w:spacing w:val="-3"/>
        </w:rPr>
        <w:t> </w:t>
      </w:r>
      <w:r>
        <w:rPr/>
        <w:t>in</w:t>
      </w:r>
      <w:r>
        <w:rPr>
          <w:spacing w:val="-3"/>
        </w:rPr>
        <w:t> </w:t>
      </w:r>
      <w:r>
        <w:rPr/>
        <w:t>consultation</w:t>
      </w:r>
      <w:r>
        <w:rPr>
          <w:spacing w:val="-3"/>
        </w:rPr>
        <w:t> </w:t>
      </w:r>
      <w:r>
        <w:rPr/>
        <w:t>with</w:t>
      </w:r>
      <w:r>
        <w:rPr>
          <w:spacing w:val="-3"/>
        </w:rPr>
        <w:t> </w:t>
      </w:r>
      <w:r>
        <w:rPr/>
        <w:t>the</w:t>
      </w:r>
      <w:r>
        <w:rPr>
          <w:spacing w:val="-7"/>
        </w:rPr>
        <w:t> </w:t>
      </w:r>
      <w:r>
        <w:rPr/>
        <w:t>department</w:t>
      </w:r>
      <w:r>
        <w:rPr>
          <w:spacing w:val="-3"/>
        </w:rPr>
        <w:t> </w:t>
      </w:r>
      <w:r>
        <w:rPr/>
        <w:t>chair</w:t>
      </w:r>
      <w:r>
        <w:rPr>
          <w:spacing w:val="-5"/>
        </w:rPr>
        <w:t> </w:t>
      </w:r>
      <w:r>
        <w:rPr/>
        <w:t>to provide a buffer and allow requests beyond a 10% commitment to be turned down with a minimum of political discomfort.</w:t>
      </w:r>
    </w:p>
    <w:p>
      <w:pPr>
        <w:pStyle w:val="BodyText"/>
        <w:spacing w:before="1"/>
      </w:pPr>
    </w:p>
    <w:p>
      <w:pPr>
        <w:pStyle w:val="BodyText"/>
        <w:ind w:left="100" w:right="181"/>
      </w:pPr>
      <w:r>
        <w:rPr/>
        <w:t>At the same time, the 10% figure is not meant to send the message that service is not important.</w:t>
      </w:r>
      <w:r>
        <w:rPr>
          <w:spacing w:val="40"/>
        </w:rPr>
        <w:t> </w:t>
      </w:r>
      <w:r>
        <w:rPr/>
        <w:t>Indeed, participating actively in service allows a junior faculty member to network, learn about institutional history and campus culture, and participate directly in faculty governance.</w:t>
      </w:r>
      <w:r>
        <w:rPr>
          <w:spacing w:val="40"/>
        </w:rPr>
        <w:t> </w:t>
      </w:r>
      <w:r>
        <w:rPr/>
        <w:t>The intent of limiting tenure probationary faculty to 10% is to protect</w:t>
      </w:r>
      <w:r>
        <w:rPr>
          <w:spacing w:val="-5"/>
        </w:rPr>
        <w:t> </w:t>
      </w:r>
      <w:r>
        <w:rPr/>
        <w:t>them</w:t>
      </w:r>
      <w:r>
        <w:rPr>
          <w:spacing w:val="-4"/>
        </w:rPr>
        <w:t> </w:t>
      </w:r>
      <w:r>
        <w:rPr/>
        <w:t>from</w:t>
      </w:r>
      <w:r>
        <w:rPr>
          <w:spacing w:val="-4"/>
        </w:rPr>
        <w:t> </w:t>
      </w:r>
      <w:r>
        <w:rPr/>
        <w:t>excessive</w:t>
      </w:r>
      <w:r>
        <w:rPr>
          <w:spacing w:val="-3"/>
        </w:rPr>
        <w:t> </w:t>
      </w:r>
      <w:r>
        <w:rPr/>
        <w:t>service</w:t>
      </w:r>
      <w:r>
        <w:rPr>
          <w:spacing w:val="-3"/>
        </w:rPr>
        <w:t> </w:t>
      </w:r>
      <w:r>
        <w:rPr/>
        <w:t>requests</w:t>
      </w:r>
      <w:r>
        <w:rPr>
          <w:spacing w:val="-3"/>
        </w:rPr>
        <w:t> </w:t>
      </w:r>
      <w:r>
        <w:rPr/>
        <w:t>that</w:t>
      </w:r>
      <w:r>
        <w:rPr>
          <w:spacing w:val="-3"/>
        </w:rPr>
        <w:t> </w:t>
      </w:r>
      <w:r>
        <w:rPr/>
        <w:t>will</w:t>
      </w:r>
      <w:r>
        <w:rPr>
          <w:spacing w:val="-3"/>
        </w:rPr>
        <w:t> </w:t>
      </w:r>
      <w:r>
        <w:rPr/>
        <w:t>keep</w:t>
      </w:r>
      <w:r>
        <w:rPr>
          <w:spacing w:val="-3"/>
        </w:rPr>
        <w:t> </w:t>
      </w:r>
      <w:r>
        <w:rPr/>
        <w:t>them</w:t>
      </w:r>
      <w:r>
        <w:rPr>
          <w:spacing w:val="-4"/>
        </w:rPr>
        <w:t> </w:t>
      </w:r>
      <w:r>
        <w:rPr/>
        <w:t>from</w:t>
      </w:r>
      <w:r>
        <w:rPr>
          <w:spacing w:val="-2"/>
        </w:rPr>
        <w:t> </w:t>
      </w:r>
      <w:r>
        <w:rPr/>
        <w:t>the</w:t>
      </w:r>
      <w:r>
        <w:rPr>
          <w:spacing w:val="-3"/>
        </w:rPr>
        <w:t> </w:t>
      </w:r>
      <w:r>
        <w:rPr/>
        <w:t>teaching</w:t>
      </w:r>
      <w:r>
        <w:rPr>
          <w:spacing w:val="-5"/>
        </w:rPr>
        <w:t> </w:t>
      </w:r>
      <w:r>
        <w:rPr/>
        <w:t>and</w:t>
      </w:r>
    </w:p>
    <w:p>
      <w:pPr>
        <w:spacing w:after="0"/>
        <w:sectPr>
          <w:pgSz w:w="12240" w:h="15840"/>
          <w:pgMar w:header="763" w:footer="0" w:top="1340" w:bottom="280" w:left="1340" w:right="1340"/>
        </w:sectPr>
      </w:pPr>
    </w:p>
    <w:p>
      <w:pPr>
        <w:pStyle w:val="BodyText"/>
        <w:spacing w:before="82"/>
        <w:ind w:left="100" w:right="102"/>
      </w:pPr>
      <w:r>
        <w:rPr/>
        <w:t>scholarship activities that will most probably form the basis of their tenure case.</w:t>
      </w:r>
      <w:r>
        <w:rPr>
          <w:spacing w:val="40"/>
        </w:rPr>
        <w:t> </w:t>
      </w:r>
      <w:r>
        <w:rPr/>
        <w:t>This policy addresses campus service.</w:t>
      </w:r>
      <w:r>
        <w:rPr>
          <w:spacing w:val="40"/>
        </w:rPr>
        <w:t> </w:t>
      </w:r>
      <w:r>
        <w:rPr/>
        <w:t>It is assumed that state, national, and international service</w:t>
      </w:r>
      <w:r>
        <w:rPr>
          <w:spacing w:val="-3"/>
        </w:rPr>
        <w:t> </w:t>
      </w:r>
      <w:r>
        <w:rPr/>
        <w:t>is</w:t>
      </w:r>
      <w:r>
        <w:rPr>
          <w:spacing w:val="-3"/>
        </w:rPr>
        <w:t> </w:t>
      </w:r>
      <w:r>
        <w:rPr/>
        <w:t>also</w:t>
      </w:r>
      <w:r>
        <w:rPr>
          <w:spacing w:val="-3"/>
        </w:rPr>
        <w:t> </w:t>
      </w:r>
      <w:r>
        <w:rPr/>
        <w:t>important</w:t>
      </w:r>
      <w:r>
        <w:rPr>
          <w:spacing w:val="-3"/>
        </w:rPr>
        <w:t> </w:t>
      </w:r>
      <w:r>
        <w:rPr/>
        <w:t>and</w:t>
      </w:r>
      <w:r>
        <w:rPr>
          <w:spacing w:val="-3"/>
        </w:rPr>
        <w:t> </w:t>
      </w:r>
      <w:r>
        <w:rPr/>
        <w:t>it</w:t>
      </w:r>
      <w:r>
        <w:rPr>
          <w:spacing w:val="-3"/>
        </w:rPr>
        <w:t> </w:t>
      </w:r>
      <w:r>
        <w:rPr/>
        <w:t>is</w:t>
      </w:r>
      <w:r>
        <w:rPr>
          <w:spacing w:val="-6"/>
        </w:rPr>
        <w:t> </w:t>
      </w:r>
      <w:r>
        <w:rPr/>
        <w:t>expected</w:t>
      </w:r>
      <w:r>
        <w:rPr>
          <w:spacing w:val="-5"/>
        </w:rPr>
        <w:t> </w:t>
      </w:r>
      <w:r>
        <w:rPr/>
        <w:t>that</w:t>
      </w:r>
      <w:r>
        <w:rPr>
          <w:spacing w:val="-3"/>
        </w:rPr>
        <w:t> </w:t>
      </w:r>
      <w:r>
        <w:rPr/>
        <w:t>the</w:t>
      </w:r>
      <w:r>
        <w:rPr>
          <w:spacing w:val="-3"/>
        </w:rPr>
        <w:t> </w:t>
      </w:r>
      <w:r>
        <w:rPr/>
        <w:t>tenure</w:t>
      </w:r>
      <w:r>
        <w:rPr>
          <w:spacing w:val="-6"/>
        </w:rPr>
        <w:t> </w:t>
      </w:r>
      <w:r>
        <w:rPr/>
        <w:t>probationary</w:t>
      </w:r>
      <w:r>
        <w:rPr>
          <w:spacing w:val="-7"/>
        </w:rPr>
        <w:t> </w:t>
      </w:r>
      <w:r>
        <w:rPr/>
        <w:t>faculty</w:t>
      </w:r>
      <w:r>
        <w:rPr>
          <w:spacing w:val="-6"/>
        </w:rPr>
        <w:t> </w:t>
      </w:r>
      <w:r>
        <w:rPr/>
        <w:t>member would discuss such commitments with the department or program chair and mentor.</w:t>
      </w:r>
    </w:p>
    <w:p>
      <w:pPr>
        <w:pStyle w:val="BodyText"/>
      </w:pPr>
    </w:p>
    <w:p>
      <w:pPr>
        <w:pStyle w:val="Heading1"/>
      </w:pPr>
      <w:r>
        <w:rPr/>
        <w:t>Modify</w:t>
      </w:r>
      <w:r>
        <w:rPr>
          <w:spacing w:val="-11"/>
        </w:rPr>
        <w:t> </w:t>
      </w:r>
      <w:r>
        <w:rPr/>
        <w:t>These</w:t>
      </w:r>
      <w:r>
        <w:rPr>
          <w:spacing w:val="-6"/>
        </w:rPr>
        <w:t> </w:t>
      </w:r>
      <w:r>
        <w:rPr/>
        <w:t>Baseline</w:t>
      </w:r>
      <w:r>
        <w:rPr>
          <w:spacing w:val="-6"/>
        </w:rPr>
        <w:t> </w:t>
      </w:r>
      <w:r>
        <w:rPr>
          <w:spacing w:val="-2"/>
        </w:rPr>
        <w:t>Expectations</w:t>
      </w:r>
    </w:p>
    <w:p>
      <w:pPr>
        <w:pStyle w:val="BodyText"/>
        <w:rPr>
          <w:b/>
        </w:rPr>
      </w:pPr>
    </w:p>
    <w:p>
      <w:pPr>
        <w:pStyle w:val="BodyText"/>
        <w:ind w:left="100" w:right="181"/>
      </w:pPr>
      <w:r>
        <w:rPr/>
        <w:t>If a faculty member wishes to change his/her allocation of time, this should be discussed with the department chair prior to the start of a year under review.</w:t>
      </w:r>
      <w:r>
        <w:rPr>
          <w:spacing w:val="40"/>
        </w:rPr>
        <w:t> </w:t>
      </w:r>
      <w:r>
        <w:rPr/>
        <w:t>The proposed allocations should be viewed as a general guideline for more specific discussions</w:t>
      </w:r>
      <w:r>
        <w:rPr>
          <w:spacing w:val="-5"/>
        </w:rPr>
        <w:t> </w:t>
      </w:r>
      <w:r>
        <w:rPr/>
        <w:t>of</w:t>
      </w:r>
      <w:r>
        <w:rPr>
          <w:spacing w:val="-1"/>
        </w:rPr>
        <w:t> </w:t>
      </w:r>
      <w:r>
        <w:rPr/>
        <w:t>allocation</w:t>
      </w:r>
      <w:r>
        <w:rPr>
          <w:spacing w:val="-3"/>
        </w:rPr>
        <w:t> </w:t>
      </w:r>
      <w:r>
        <w:rPr/>
        <w:t>of</w:t>
      </w:r>
      <w:r>
        <w:rPr>
          <w:spacing w:val="-3"/>
        </w:rPr>
        <w:t> </w:t>
      </w:r>
      <w:r>
        <w:rPr/>
        <w:t>faculty</w:t>
      </w:r>
      <w:r>
        <w:rPr>
          <w:spacing w:val="-6"/>
        </w:rPr>
        <w:t> </w:t>
      </w:r>
      <w:r>
        <w:rPr/>
        <w:t>effort</w:t>
      </w:r>
      <w:r>
        <w:rPr>
          <w:spacing w:val="-3"/>
        </w:rPr>
        <w:t> </w:t>
      </w:r>
      <w:r>
        <w:rPr/>
        <w:t>between</w:t>
      </w:r>
      <w:r>
        <w:rPr>
          <w:spacing w:val="-5"/>
        </w:rPr>
        <w:t> </w:t>
      </w:r>
      <w:r>
        <w:rPr/>
        <w:t>a</w:t>
      </w:r>
      <w:r>
        <w:rPr>
          <w:spacing w:val="-5"/>
        </w:rPr>
        <w:t> </w:t>
      </w:r>
      <w:r>
        <w:rPr/>
        <w:t>faculty</w:t>
      </w:r>
      <w:r>
        <w:rPr>
          <w:spacing w:val="-6"/>
        </w:rPr>
        <w:t> </w:t>
      </w:r>
      <w:r>
        <w:rPr/>
        <w:t>member</w:t>
      </w:r>
      <w:r>
        <w:rPr>
          <w:spacing w:val="-6"/>
        </w:rPr>
        <w:t> </w:t>
      </w:r>
      <w:r>
        <w:rPr/>
        <w:t>and</w:t>
      </w:r>
      <w:r>
        <w:rPr>
          <w:spacing w:val="-5"/>
        </w:rPr>
        <w:t> </w:t>
      </w:r>
      <w:r>
        <w:rPr/>
        <w:t>the</w:t>
      </w:r>
      <w:r>
        <w:rPr>
          <w:spacing w:val="-5"/>
        </w:rPr>
        <w:t> </w:t>
      </w:r>
      <w:r>
        <w:rPr/>
        <w:t>department chair.</w:t>
      </w:r>
      <w:r>
        <w:rPr>
          <w:spacing w:val="40"/>
        </w:rPr>
        <w:t> </w:t>
      </w:r>
      <w:r>
        <w:rPr/>
        <w:t>Any modifications to these baseline percents should be agreed to by the chair and</w:t>
      </w:r>
      <w:r>
        <w:rPr>
          <w:spacing w:val="-3"/>
        </w:rPr>
        <w:t> </w:t>
      </w:r>
      <w:r>
        <w:rPr/>
        <w:t>faculty</w:t>
      </w:r>
      <w:r>
        <w:rPr>
          <w:spacing w:val="-4"/>
        </w:rPr>
        <w:t> </w:t>
      </w:r>
      <w:r>
        <w:rPr/>
        <w:t>member</w:t>
      </w:r>
      <w:r>
        <w:rPr>
          <w:spacing w:val="-1"/>
        </w:rPr>
        <w:t> </w:t>
      </w:r>
      <w:r>
        <w:rPr/>
        <w:t>in</w:t>
      </w:r>
      <w:r>
        <w:rPr>
          <w:spacing w:val="-3"/>
        </w:rPr>
        <w:t> </w:t>
      </w:r>
      <w:r>
        <w:rPr/>
        <w:t>writing.</w:t>
      </w:r>
      <w:r>
        <w:rPr>
          <w:spacing w:val="40"/>
        </w:rPr>
        <w:t> </w:t>
      </w:r>
      <w:r>
        <w:rPr/>
        <w:t>The</w:t>
      </w:r>
      <w:r>
        <w:rPr>
          <w:spacing w:val="-3"/>
        </w:rPr>
        <w:t> </w:t>
      </w:r>
      <w:r>
        <w:rPr/>
        <w:t>modified</w:t>
      </w:r>
      <w:r>
        <w:rPr>
          <w:spacing w:val="-3"/>
        </w:rPr>
        <w:t> </w:t>
      </w:r>
      <w:r>
        <w:rPr/>
        <w:t>allocation</w:t>
      </w:r>
      <w:r>
        <w:rPr>
          <w:spacing w:val="-3"/>
        </w:rPr>
        <w:t> </w:t>
      </w:r>
      <w:r>
        <w:rPr/>
        <w:t>would</w:t>
      </w:r>
      <w:r>
        <w:rPr>
          <w:spacing w:val="-1"/>
        </w:rPr>
        <w:t> </w:t>
      </w:r>
      <w:r>
        <w:rPr/>
        <w:t>serve</w:t>
      </w:r>
      <w:r>
        <w:rPr>
          <w:spacing w:val="-1"/>
        </w:rPr>
        <w:t> </w:t>
      </w:r>
      <w:r>
        <w:rPr/>
        <w:t>as</w:t>
      </w:r>
      <w:r>
        <w:rPr>
          <w:spacing w:val="-1"/>
        </w:rPr>
        <w:t> </w:t>
      </w:r>
      <w:r>
        <w:rPr/>
        <w:t>the</w:t>
      </w:r>
      <w:r>
        <w:rPr>
          <w:spacing w:val="-1"/>
        </w:rPr>
        <w:t> </w:t>
      </w:r>
      <w:r>
        <w:rPr/>
        <w:t>basis</w:t>
      </w:r>
      <w:r>
        <w:rPr>
          <w:spacing w:val="-4"/>
        </w:rPr>
        <w:t> </w:t>
      </w:r>
      <w:r>
        <w:rPr/>
        <w:t>for</w:t>
      </w:r>
      <w:r>
        <w:rPr>
          <w:spacing w:val="-1"/>
        </w:rPr>
        <w:t> </w:t>
      </w:r>
      <w:r>
        <w:rPr/>
        <w:t>the annual merit review for that faculty member.</w:t>
      </w:r>
    </w:p>
    <w:p>
      <w:pPr>
        <w:pStyle w:val="BodyText"/>
        <w:spacing w:before="1"/>
      </w:pPr>
    </w:p>
    <w:p>
      <w:pPr>
        <w:pStyle w:val="Heading1"/>
      </w:pPr>
      <w:r>
        <w:rPr/>
        <w:t>Tenure</w:t>
      </w:r>
      <w:r>
        <w:rPr>
          <w:spacing w:val="-2"/>
        </w:rPr>
        <w:t> </w:t>
      </w:r>
      <w:r>
        <w:rPr/>
        <w:t>and</w:t>
      </w:r>
      <w:r>
        <w:rPr>
          <w:spacing w:val="-4"/>
        </w:rPr>
        <w:t> </w:t>
      </w:r>
      <w:r>
        <w:rPr/>
        <w:t>Promotion</w:t>
      </w:r>
      <w:r>
        <w:rPr>
          <w:spacing w:val="-1"/>
        </w:rPr>
        <w:t> </w:t>
      </w:r>
      <w:r>
        <w:rPr>
          <w:spacing w:val="-2"/>
        </w:rPr>
        <w:t>Issues</w:t>
      </w:r>
    </w:p>
    <w:p>
      <w:pPr>
        <w:pStyle w:val="BodyText"/>
        <w:rPr>
          <w:b/>
        </w:rPr>
      </w:pPr>
    </w:p>
    <w:p>
      <w:pPr>
        <w:pStyle w:val="BodyText"/>
        <w:ind w:left="100" w:right="102"/>
      </w:pPr>
      <w:r>
        <w:rPr/>
        <w:t>The allocation policy was crafted with the School’s revised tenure and promotion guidelines in mind (</w:t>
      </w:r>
      <w:hyperlink r:id="rId7">
        <w:r>
          <w:rPr>
            <w:color w:val="0000FF"/>
            <w:u w:val="single" w:color="0000FF"/>
          </w:rPr>
          <w:t>http://education.indiana.edu/docs/policy-</w:t>
        </w:r>
      </w:hyperlink>
      <w:r>
        <w:rPr>
          <w:color w:val="0000FF"/>
        </w:rPr>
        <w:t> </w:t>
      </w:r>
      <w:hyperlink r:id="rId7">
        <w:r>
          <w:rPr>
            <w:color w:val="0000FF"/>
            <w:u w:val="single" w:color="0000FF"/>
          </w:rPr>
          <w:t>council/11.53_Revised_FINAL.pdf</w:t>
        </w:r>
      </w:hyperlink>
      <w:r>
        <w:rPr/>
        <w:t>).The committee believes that the recommended allocations are a better fit for the revised guidelines than the traditional (and formally unstated) 50-25-25 assumption.</w:t>
      </w:r>
      <w:r>
        <w:rPr>
          <w:spacing w:val="40"/>
        </w:rPr>
        <w:t> </w:t>
      </w:r>
      <w:r>
        <w:rPr/>
        <w:t>If these baseline expectations are modified by the faculty</w:t>
      </w:r>
      <w:r>
        <w:rPr>
          <w:spacing w:val="-7"/>
        </w:rPr>
        <w:t> </w:t>
      </w:r>
      <w:r>
        <w:rPr/>
        <w:t>member</w:t>
      </w:r>
      <w:r>
        <w:rPr>
          <w:spacing w:val="-4"/>
        </w:rPr>
        <w:t> </w:t>
      </w:r>
      <w:r>
        <w:rPr/>
        <w:t>and</w:t>
      </w:r>
      <w:r>
        <w:rPr>
          <w:spacing w:val="-4"/>
        </w:rPr>
        <w:t> </w:t>
      </w:r>
      <w:r>
        <w:rPr/>
        <w:t>department</w:t>
      </w:r>
      <w:r>
        <w:rPr>
          <w:spacing w:val="-6"/>
        </w:rPr>
        <w:t> </w:t>
      </w:r>
      <w:r>
        <w:rPr/>
        <w:t>chair,</w:t>
      </w:r>
      <w:r>
        <w:rPr>
          <w:spacing w:val="-4"/>
        </w:rPr>
        <w:t> </w:t>
      </w:r>
      <w:r>
        <w:rPr/>
        <w:t>these</w:t>
      </w:r>
      <w:r>
        <w:rPr>
          <w:spacing w:val="-6"/>
        </w:rPr>
        <w:t> </w:t>
      </w:r>
      <w:r>
        <w:rPr/>
        <w:t>modifications</w:t>
      </w:r>
      <w:r>
        <w:rPr>
          <w:spacing w:val="-7"/>
        </w:rPr>
        <w:t> </w:t>
      </w:r>
      <w:r>
        <w:rPr/>
        <w:t>should</w:t>
      </w:r>
      <w:r>
        <w:rPr>
          <w:spacing w:val="-4"/>
        </w:rPr>
        <w:t> </w:t>
      </w:r>
      <w:r>
        <w:rPr/>
        <w:t>be</w:t>
      </w:r>
      <w:r>
        <w:rPr>
          <w:spacing w:val="-4"/>
        </w:rPr>
        <w:t> </w:t>
      </w:r>
      <w:r>
        <w:rPr/>
        <w:t>considered</w:t>
      </w:r>
      <w:r>
        <w:rPr>
          <w:spacing w:val="-6"/>
        </w:rPr>
        <w:t> </w:t>
      </w:r>
      <w:r>
        <w:rPr/>
        <w:t>when the faculty member is being considered for tenure or promotion.</w:t>
      </w:r>
      <w:r>
        <w:rPr>
          <w:spacing w:val="40"/>
        </w:rPr>
        <w:t> </w:t>
      </w:r>
      <w:r>
        <w:rPr/>
        <w:t>These expectations should be communicated by the individual’s department chair, and in cases of tenure probationary faculty, also by the mentor(s).</w:t>
      </w:r>
    </w:p>
    <w:p>
      <w:pPr>
        <w:pStyle w:val="BodyText"/>
        <w:spacing w:before="1"/>
      </w:pPr>
    </w:p>
    <w:p>
      <w:pPr>
        <w:pStyle w:val="BodyText"/>
        <w:ind w:left="100" w:right="102"/>
      </w:pPr>
      <w:r>
        <w:rPr/>
        <w:t>A faculty member pursuing tenure or promotion on the basis of a balanced case may choose</w:t>
      </w:r>
      <w:r>
        <w:rPr>
          <w:spacing w:val="-3"/>
        </w:rPr>
        <w:t> </w:t>
      </w:r>
      <w:r>
        <w:rPr/>
        <w:t>to</w:t>
      </w:r>
      <w:r>
        <w:rPr>
          <w:spacing w:val="-3"/>
        </w:rPr>
        <w:t> </w:t>
      </w:r>
      <w:r>
        <w:rPr/>
        <w:t>increase</w:t>
      </w:r>
      <w:r>
        <w:rPr>
          <w:spacing w:val="-3"/>
        </w:rPr>
        <w:t> </w:t>
      </w:r>
      <w:r>
        <w:rPr/>
        <w:t>the</w:t>
      </w:r>
      <w:r>
        <w:rPr>
          <w:spacing w:val="-5"/>
        </w:rPr>
        <w:t> </w:t>
      </w:r>
      <w:r>
        <w:rPr/>
        <w:t>allocation</w:t>
      </w:r>
      <w:r>
        <w:rPr>
          <w:spacing w:val="-3"/>
        </w:rPr>
        <w:t> </w:t>
      </w:r>
      <w:r>
        <w:rPr/>
        <w:t>of</w:t>
      </w:r>
      <w:r>
        <w:rPr>
          <w:spacing w:val="-3"/>
        </w:rPr>
        <w:t> </w:t>
      </w:r>
      <w:r>
        <w:rPr/>
        <w:t>time</w:t>
      </w:r>
      <w:r>
        <w:rPr>
          <w:spacing w:val="-3"/>
        </w:rPr>
        <w:t> </w:t>
      </w:r>
      <w:r>
        <w:rPr/>
        <w:t>to</w:t>
      </w:r>
      <w:r>
        <w:rPr>
          <w:spacing w:val="-3"/>
        </w:rPr>
        <w:t> </w:t>
      </w:r>
      <w:r>
        <w:rPr/>
        <w:t>service.</w:t>
      </w:r>
      <w:r>
        <w:rPr>
          <w:spacing w:val="40"/>
        </w:rPr>
        <w:t> </w:t>
      </w:r>
      <w:r>
        <w:rPr/>
        <w:t>That</w:t>
      </w:r>
      <w:r>
        <w:rPr>
          <w:spacing w:val="-5"/>
        </w:rPr>
        <w:t> </w:t>
      </w:r>
      <w:r>
        <w:rPr/>
        <w:t>decision</w:t>
      </w:r>
      <w:r>
        <w:rPr>
          <w:spacing w:val="-3"/>
        </w:rPr>
        <w:t> </w:t>
      </w:r>
      <w:r>
        <w:rPr/>
        <w:t>should</w:t>
      </w:r>
      <w:r>
        <w:rPr>
          <w:spacing w:val="-5"/>
        </w:rPr>
        <w:t> </w:t>
      </w:r>
      <w:r>
        <w:rPr/>
        <w:t>be</w:t>
      </w:r>
      <w:r>
        <w:rPr>
          <w:spacing w:val="-5"/>
        </w:rPr>
        <w:t> </w:t>
      </w:r>
      <w:r>
        <w:rPr/>
        <w:t>made</w:t>
      </w:r>
      <w:r>
        <w:rPr>
          <w:spacing w:val="-5"/>
        </w:rPr>
        <w:t> </w:t>
      </w:r>
      <w:r>
        <w:rPr/>
        <w:t>prior to the third year review.</w:t>
      </w:r>
      <w:r>
        <w:rPr>
          <w:spacing w:val="40"/>
        </w:rPr>
        <w:t> </w:t>
      </w:r>
      <w:r>
        <w:rPr/>
        <w:t>The committee emphasizes that the expectations for scholarship are similar regardless of whether the individual chooses to emphasize a particular strength or balanced case in her dossier.</w:t>
      </w:r>
    </w:p>
    <w:sectPr>
      <w:pgSz w:w="12240" w:h="15840"/>
      <w:pgMar w:header="763" w:footer="0" w:top="13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8720">
              <wp:simplePos x="0" y="0"/>
              <wp:positionH relativeFrom="page">
                <wp:posOffset>6528054</wp:posOffset>
              </wp:positionH>
              <wp:positionV relativeFrom="page">
                <wp:posOffset>471931</wp:posOffset>
              </wp:positionV>
              <wp:extent cx="344805"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44805" cy="165735"/>
                      </a:xfrm>
                      <a:prstGeom prst="rect">
                        <a:avLst/>
                      </a:prstGeom>
                    </wps:spPr>
                    <wps:txbx>
                      <w:txbxContent>
                        <w:p>
                          <w:pPr>
                            <w:spacing w:line="245" w:lineRule="exact" w:before="0"/>
                            <w:ind w:left="20" w:right="0" w:firstLine="0"/>
                            <w:jc w:val="left"/>
                            <w:rPr>
                              <w:rFonts w:ascii="Calibri"/>
                              <w:sz w:val="22"/>
                            </w:rPr>
                          </w:pPr>
                          <w:r>
                            <w:rPr>
                              <w:rFonts w:ascii="Calibri"/>
                              <w:spacing w:val="-2"/>
                              <w:sz w:val="22"/>
                            </w:rPr>
                            <w:t>13.48</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4.020020pt;margin-top:37.160pt;width:27.15pt;height:13.05pt;mso-position-horizontal-relative:page;mso-position-vertical-relative:page;z-index:-15797760" type="#_x0000_t202" id="docshape1" filled="false" stroked="false">
              <v:textbox inset="0,0,0,0">
                <w:txbxContent>
                  <w:p>
                    <w:pPr>
                      <w:spacing w:line="245" w:lineRule="exact" w:before="0"/>
                      <w:ind w:left="20" w:right="0" w:firstLine="0"/>
                      <w:jc w:val="left"/>
                      <w:rPr>
                        <w:rFonts w:ascii="Calibri"/>
                        <w:sz w:val="22"/>
                      </w:rPr>
                    </w:pPr>
                    <w:r>
                      <w:rPr>
                        <w:rFonts w:ascii="Calibri"/>
                        <w:spacing w:val="-2"/>
                        <w:sz w:val="22"/>
                      </w:rPr>
                      <w:t>13.48</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134"/>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indiana.edu/~bfc/docs/policies/lecturerClinicalAppointments.pdf" TargetMode="External"/><Relationship Id="rId7" Type="http://schemas.openxmlformats.org/officeDocument/2006/relationships/hyperlink" Target="http://education.indiana.edu/docs/policy-council/11.53_Revised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dc:creator>
  <dcterms:created xsi:type="dcterms:W3CDTF">2023-11-29T16:45:18Z</dcterms:created>
  <dcterms:modified xsi:type="dcterms:W3CDTF">2023-11-29T16:45:18Z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2023-11-29T00:00:00Z</vt:filetime>
  </property>
  <property fmtid="{D5CDD505-2E9C-101B-9397-08002B2CF9AE}" pid="5" name="Producer">
    <vt:lpwstr>Microsoft® Word 2016</vt:lpwstr>
  </property>
</Properties>
</file>